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18E8" w14:textId="77777777" w:rsidR="00366962" w:rsidRPr="00C37196" w:rsidRDefault="00C37196" w:rsidP="00C37196">
      <w:pPr>
        <w:pStyle w:val="Heading1"/>
        <w:rPr>
          <w:rFonts w:ascii="Quicksand" w:hAnsi="Quicksand"/>
        </w:rPr>
      </w:pPr>
      <w:r w:rsidRPr="00C37196">
        <w:rPr>
          <w:rFonts w:ascii="Quicksand" w:hAnsi="Quicksand"/>
        </w:rPr>
        <w:t>Souhlas se zpracováním osobních údajů (GDPR)</w:t>
      </w:r>
    </w:p>
    <w:p w14:paraId="00136975" w14:textId="77777777" w:rsidR="00366962" w:rsidRPr="00C37196" w:rsidRDefault="00366962" w:rsidP="00C37196">
      <w:pPr>
        <w:rPr>
          <w:rFonts w:ascii="Quicksand" w:hAnsi="Quicksand"/>
        </w:rPr>
      </w:pPr>
    </w:p>
    <w:p w14:paraId="03C15392" w14:textId="77777777" w:rsidR="00366962" w:rsidRPr="00C37196" w:rsidRDefault="00C37196" w:rsidP="00C37196">
      <w:pPr>
        <w:rPr>
          <w:rFonts w:ascii="Quicksand" w:hAnsi="Quicksand"/>
          <w:b/>
          <w:bCs/>
          <w:sz w:val="24"/>
          <w:szCs w:val="24"/>
        </w:rPr>
      </w:pPr>
      <w:r w:rsidRPr="00C37196">
        <w:rPr>
          <w:rFonts w:ascii="Quicksand" w:hAnsi="Quicksand"/>
          <w:b/>
          <w:bCs/>
          <w:sz w:val="24"/>
          <w:szCs w:val="24"/>
        </w:rPr>
        <w:t>I. Správce osobních údajů</w:t>
      </w:r>
    </w:p>
    <w:p w14:paraId="344C042D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Správcem osobních údajů je:</w:t>
      </w:r>
    </w:p>
    <w:p w14:paraId="7AEF7C5B" w14:textId="77777777" w:rsidR="00C37196" w:rsidRPr="00467F89" w:rsidRDefault="00C37196" w:rsidP="00C37196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 xml:space="preserve">Obchodní firma / jméno: </w:t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 w:rsidRPr="001F4056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Bc. Milan Metzl</w:t>
      </w:r>
      <w:r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, Synapti</w:t>
      </w: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br/>
        <w:t xml:space="preserve">IČO: </w:t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 w:rsidRPr="001F4056">
        <w:rPr>
          <w:rFonts w:ascii="Quicksand" w:eastAsiaTheme="majorEastAsia" w:hAnsi="Quicksand" w:cstheme="majorBidi"/>
          <w:b/>
          <w:bCs/>
          <w:color w:val="000000" w:themeColor="text1"/>
        </w:rPr>
        <w:t>65795032</w:t>
      </w: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br/>
        <w:t xml:space="preserve">Sídlo: </w:t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 w:rsidRPr="001F4056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Kvítková 3687, 760 01 Zlín</w:t>
      </w:r>
    </w:p>
    <w:p w14:paraId="7C0D65C3" w14:textId="67DB558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(dále jen „Správce“)</w:t>
      </w:r>
    </w:p>
    <w:p w14:paraId="4D095E03" w14:textId="77777777" w:rsidR="00C37196" w:rsidRDefault="00C37196" w:rsidP="00C37196">
      <w:pPr>
        <w:rPr>
          <w:rFonts w:ascii="Quicksand" w:hAnsi="Quicksand"/>
          <w:b/>
          <w:bCs/>
          <w:sz w:val="24"/>
          <w:szCs w:val="24"/>
        </w:rPr>
      </w:pPr>
    </w:p>
    <w:p w14:paraId="642F8B76" w14:textId="44B41EAB" w:rsidR="00366962" w:rsidRPr="00C37196" w:rsidRDefault="00C37196" w:rsidP="00C37196">
      <w:pPr>
        <w:rPr>
          <w:rFonts w:ascii="Quicksand" w:hAnsi="Quicksand"/>
          <w:b/>
          <w:bCs/>
          <w:sz w:val="24"/>
          <w:szCs w:val="24"/>
        </w:rPr>
      </w:pPr>
      <w:r w:rsidRPr="00C37196">
        <w:rPr>
          <w:rFonts w:ascii="Quicksand" w:hAnsi="Quicksand"/>
          <w:b/>
          <w:bCs/>
          <w:sz w:val="24"/>
          <w:szCs w:val="24"/>
        </w:rPr>
        <w:t>II. Subjekt údajů</w:t>
      </w:r>
    </w:p>
    <w:p w14:paraId="0F06181E" w14:textId="19FDD350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Jméno a příjmení:</w:t>
      </w:r>
      <w:r>
        <w:rPr>
          <w:rFonts w:ascii="Quicksand" w:hAnsi="Quicksand"/>
          <w:sz w:val="24"/>
          <w:szCs w:val="24"/>
        </w:rPr>
        <w:tab/>
      </w:r>
      <w:r>
        <w:rPr>
          <w:rFonts w:ascii="Quicksand" w:hAnsi="Quicksand"/>
          <w:sz w:val="24"/>
          <w:szCs w:val="24"/>
        </w:rPr>
        <w:tab/>
        <w:t>……………………………………………………………………………</w:t>
      </w:r>
    </w:p>
    <w:p w14:paraId="77D8001A" w14:textId="6C6F31F0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Datum narození:</w:t>
      </w:r>
      <w:r>
        <w:rPr>
          <w:rFonts w:ascii="Quicksand" w:hAnsi="Quicksand"/>
          <w:sz w:val="24"/>
          <w:szCs w:val="24"/>
        </w:rPr>
        <w:tab/>
      </w:r>
      <w:r>
        <w:rPr>
          <w:rFonts w:ascii="Quicksand" w:hAnsi="Quicksand"/>
          <w:sz w:val="24"/>
          <w:szCs w:val="24"/>
        </w:rPr>
        <w:tab/>
      </w:r>
      <w:r>
        <w:rPr>
          <w:rFonts w:ascii="Quicksand" w:hAnsi="Quicksand"/>
          <w:sz w:val="24"/>
          <w:szCs w:val="24"/>
        </w:rPr>
        <w:t>……………………………………………………………………………</w:t>
      </w:r>
    </w:p>
    <w:p w14:paraId="3488D10B" w14:textId="22F6BDD9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Bydliště:</w:t>
      </w:r>
      <w:r>
        <w:rPr>
          <w:rFonts w:ascii="Quicksand" w:hAnsi="Quicksand"/>
          <w:sz w:val="24"/>
          <w:szCs w:val="24"/>
        </w:rPr>
        <w:tab/>
      </w:r>
      <w:r>
        <w:rPr>
          <w:rFonts w:ascii="Quicksand" w:hAnsi="Quicksand"/>
          <w:sz w:val="24"/>
          <w:szCs w:val="24"/>
        </w:rPr>
        <w:tab/>
      </w:r>
      <w:r>
        <w:rPr>
          <w:rFonts w:ascii="Quicksand" w:hAnsi="Quicksand"/>
          <w:sz w:val="24"/>
          <w:szCs w:val="24"/>
        </w:rPr>
        <w:tab/>
      </w:r>
      <w:r>
        <w:rPr>
          <w:rFonts w:ascii="Quicksand" w:hAnsi="Quicksand"/>
          <w:sz w:val="24"/>
          <w:szCs w:val="24"/>
        </w:rPr>
        <w:t>……………………………………………………………………………</w:t>
      </w:r>
    </w:p>
    <w:p w14:paraId="7FC8668A" w14:textId="5965E063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Telefon / e-mail:</w:t>
      </w:r>
      <w:r>
        <w:rPr>
          <w:rFonts w:ascii="Quicksand" w:hAnsi="Quicksand"/>
          <w:sz w:val="24"/>
          <w:szCs w:val="24"/>
        </w:rPr>
        <w:tab/>
      </w:r>
      <w:r>
        <w:rPr>
          <w:rFonts w:ascii="Quicksand" w:hAnsi="Quicksand"/>
          <w:sz w:val="24"/>
          <w:szCs w:val="24"/>
        </w:rPr>
        <w:tab/>
      </w:r>
      <w:r>
        <w:rPr>
          <w:rFonts w:ascii="Quicksand" w:hAnsi="Quicksand"/>
          <w:sz w:val="24"/>
          <w:szCs w:val="24"/>
        </w:rPr>
        <w:t>……………………………………………………………………………</w:t>
      </w:r>
    </w:p>
    <w:p w14:paraId="551B403B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U nezletilého:</w:t>
      </w:r>
    </w:p>
    <w:p w14:paraId="117BFA7E" w14:textId="270443BB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Jméno zákonného zástupce:</w:t>
      </w:r>
      <w:r>
        <w:rPr>
          <w:rFonts w:ascii="Quicksand" w:hAnsi="Quicksand"/>
          <w:sz w:val="24"/>
          <w:szCs w:val="24"/>
        </w:rPr>
        <w:tab/>
      </w:r>
      <w:r>
        <w:rPr>
          <w:rFonts w:ascii="Quicksand" w:hAnsi="Quicksand"/>
          <w:sz w:val="24"/>
          <w:szCs w:val="24"/>
        </w:rPr>
        <w:t>…………………………………………………………</w:t>
      </w:r>
      <w:r>
        <w:rPr>
          <w:rFonts w:ascii="Quicksand" w:hAnsi="Quicksand"/>
          <w:sz w:val="24"/>
          <w:szCs w:val="24"/>
        </w:rPr>
        <w:t>..</w:t>
      </w:r>
    </w:p>
    <w:p w14:paraId="5C456C31" w14:textId="77777777" w:rsidR="00366962" w:rsidRPr="00C37196" w:rsidRDefault="00366962" w:rsidP="00C37196">
      <w:pPr>
        <w:rPr>
          <w:rFonts w:ascii="Quicksand" w:hAnsi="Quicksand"/>
          <w:sz w:val="24"/>
          <w:szCs w:val="24"/>
        </w:rPr>
      </w:pPr>
    </w:p>
    <w:p w14:paraId="6E548B62" w14:textId="77777777" w:rsidR="00366962" w:rsidRPr="00C37196" w:rsidRDefault="00C37196" w:rsidP="00C37196">
      <w:pPr>
        <w:rPr>
          <w:rFonts w:ascii="Quicksand" w:hAnsi="Quicksand"/>
          <w:b/>
          <w:bCs/>
          <w:sz w:val="24"/>
          <w:szCs w:val="24"/>
        </w:rPr>
      </w:pPr>
      <w:r w:rsidRPr="00C37196">
        <w:rPr>
          <w:rFonts w:ascii="Quicksand" w:hAnsi="Quicksand"/>
          <w:b/>
          <w:bCs/>
          <w:sz w:val="24"/>
          <w:szCs w:val="24"/>
        </w:rPr>
        <w:t>III. Rozsah zpracovávaných osobních údajů</w:t>
      </w:r>
    </w:p>
    <w:p w14:paraId="4F9EED4F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Správce je oprávněn zpracovávat zejména tyto osobní údaje:</w:t>
      </w:r>
    </w:p>
    <w:p w14:paraId="1F02C02D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- identifikační údaje,</w:t>
      </w:r>
    </w:p>
    <w:p w14:paraId="479334F8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- kontaktní údaje,</w:t>
      </w:r>
    </w:p>
    <w:p w14:paraId="7563F7E4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- údaje o využívání služeb,</w:t>
      </w:r>
    </w:p>
    <w:p w14:paraId="1729D1F4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- poznámky související s průběhem tréninku,</w:t>
      </w:r>
    </w:p>
    <w:p w14:paraId="3A683550" w14:textId="69A71700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 xml:space="preserve">- technická data z tréninkových zařízení </w:t>
      </w:r>
    </w:p>
    <w:p w14:paraId="4AD21654" w14:textId="77777777" w:rsidR="00366962" w:rsidRPr="00C37196" w:rsidRDefault="00366962" w:rsidP="00C37196">
      <w:pPr>
        <w:rPr>
          <w:rFonts w:ascii="Quicksand" w:hAnsi="Quicksand"/>
          <w:sz w:val="24"/>
          <w:szCs w:val="24"/>
        </w:rPr>
      </w:pPr>
    </w:p>
    <w:p w14:paraId="7D012C8A" w14:textId="7B687566" w:rsidR="00366962" w:rsidRPr="00C37196" w:rsidRDefault="00C37196" w:rsidP="00C37196">
      <w:pPr>
        <w:rPr>
          <w:rFonts w:ascii="Quicksand" w:hAnsi="Quicksand"/>
          <w:b/>
          <w:bCs/>
          <w:sz w:val="24"/>
          <w:szCs w:val="24"/>
        </w:rPr>
      </w:pPr>
      <w:r w:rsidRPr="00C37196">
        <w:rPr>
          <w:rFonts w:ascii="Quicksand" w:hAnsi="Quicksand"/>
          <w:b/>
          <w:bCs/>
          <w:sz w:val="24"/>
          <w:szCs w:val="24"/>
        </w:rPr>
        <w:lastRenderedPageBreak/>
        <w:t>IV. Účel zpracování</w:t>
      </w:r>
    </w:p>
    <w:p w14:paraId="311696DB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Osobní údaje jsou zpracovávány za účelem:</w:t>
      </w:r>
    </w:p>
    <w:p w14:paraId="4AA6189D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- poskytování služeb kognitivního tréninku,</w:t>
      </w:r>
    </w:p>
    <w:p w14:paraId="610B1CB2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- vedení klientské dokumentace,</w:t>
      </w:r>
    </w:p>
    <w:p w14:paraId="0258B475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- plánování a evidence sezení,</w:t>
      </w:r>
    </w:p>
    <w:p w14:paraId="200F8D2D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- komunikace s klientem,</w:t>
      </w:r>
    </w:p>
    <w:p w14:paraId="0FA7B252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- plnění zákonných povinností.</w:t>
      </w:r>
    </w:p>
    <w:p w14:paraId="2F70BC65" w14:textId="77777777" w:rsidR="00366962" w:rsidRPr="00C37196" w:rsidRDefault="00366962" w:rsidP="00C37196">
      <w:pPr>
        <w:rPr>
          <w:rFonts w:ascii="Quicksand" w:hAnsi="Quicksand"/>
          <w:sz w:val="24"/>
          <w:szCs w:val="24"/>
        </w:rPr>
      </w:pPr>
    </w:p>
    <w:p w14:paraId="5A11BA6E" w14:textId="716CC1DD" w:rsidR="00366962" w:rsidRPr="00C37196" w:rsidRDefault="00C37196" w:rsidP="00C37196">
      <w:pPr>
        <w:rPr>
          <w:rFonts w:ascii="Quicksand" w:hAnsi="Quicksand"/>
          <w:b/>
          <w:bCs/>
          <w:sz w:val="24"/>
          <w:szCs w:val="24"/>
        </w:rPr>
      </w:pPr>
      <w:r w:rsidRPr="00C37196">
        <w:rPr>
          <w:rFonts w:ascii="Quicksand" w:hAnsi="Quicksand"/>
          <w:b/>
          <w:bCs/>
          <w:sz w:val="24"/>
          <w:szCs w:val="24"/>
        </w:rPr>
        <w:t>V. Právní základ zpracování</w:t>
      </w:r>
    </w:p>
    <w:p w14:paraId="7529F91B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Právním základem zpracování je:</w:t>
      </w:r>
    </w:p>
    <w:p w14:paraId="66467745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- plnění smlouvy dle čl. 6 odst. 1 písm. b) GDPR,</w:t>
      </w:r>
    </w:p>
    <w:p w14:paraId="385A72A6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- souhlas subjektu údajů dle čl. 6 odst. 1 písm. a) GDPR.</w:t>
      </w:r>
    </w:p>
    <w:p w14:paraId="00ED2951" w14:textId="77777777" w:rsidR="00366962" w:rsidRPr="00C37196" w:rsidRDefault="00366962" w:rsidP="00C37196">
      <w:pPr>
        <w:rPr>
          <w:rFonts w:ascii="Quicksand" w:hAnsi="Quicksand"/>
          <w:sz w:val="24"/>
          <w:szCs w:val="24"/>
        </w:rPr>
      </w:pPr>
    </w:p>
    <w:p w14:paraId="0D4AC963" w14:textId="74562634" w:rsidR="00366962" w:rsidRPr="00C37196" w:rsidRDefault="00C37196" w:rsidP="00C37196">
      <w:pPr>
        <w:rPr>
          <w:rFonts w:ascii="Quicksand" w:hAnsi="Quicksand"/>
          <w:b/>
          <w:bCs/>
          <w:sz w:val="24"/>
          <w:szCs w:val="24"/>
        </w:rPr>
      </w:pPr>
      <w:r w:rsidRPr="00C37196">
        <w:rPr>
          <w:rFonts w:ascii="Quicksand" w:hAnsi="Quicksand"/>
          <w:b/>
          <w:bCs/>
          <w:sz w:val="24"/>
          <w:szCs w:val="24"/>
        </w:rPr>
        <w:t>VI. Doba zpracování</w:t>
      </w:r>
    </w:p>
    <w:p w14:paraId="25ACFC84" w14:textId="54A95AB1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Osobní údaje budou zpracovávány po dobu trvání smluvního vztahu a dále po dobu</w:t>
      </w:r>
      <w:r>
        <w:rPr>
          <w:rFonts w:ascii="Quicksand" w:hAnsi="Quicksand"/>
          <w:sz w:val="24"/>
          <w:szCs w:val="24"/>
        </w:rPr>
        <w:t xml:space="preserve"> </w:t>
      </w:r>
      <w:r w:rsidRPr="00C37196">
        <w:rPr>
          <w:rFonts w:ascii="Quicksand" w:hAnsi="Quicksand"/>
          <w:sz w:val="24"/>
          <w:szCs w:val="24"/>
        </w:rPr>
        <w:t>nezbytnou dle právních předpisů nebo do odvolání souhlasu.</w:t>
      </w:r>
    </w:p>
    <w:p w14:paraId="78601E04" w14:textId="77777777" w:rsidR="00366962" w:rsidRPr="00C37196" w:rsidRDefault="00366962" w:rsidP="00C37196">
      <w:pPr>
        <w:rPr>
          <w:rFonts w:ascii="Quicksand" w:hAnsi="Quicksand"/>
          <w:sz w:val="24"/>
          <w:szCs w:val="24"/>
        </w:rPr>
      </w:pPr>
    </w:p>
    <w:p w14:paraId="4FB64E50" w14:textId="6B022488" w:rsidR="00366962" w:rsidRPr="00C37196" w:rsidRDefault="00C37196" w:rsidP="00C37196">
      <w:pPr>
        <w:rPr>
          <w:rFonts w:ascii="Quicksand" w:hAnsi="Quicksand"/>
          <w:b/>
          <w:bCs/>
          <w:sz w:val="24"/>
          <w:szCs w:val="24"/>
        </w:rPr>
      </w:pPr>
      <w:r w:rsidRPr="00C37196">
        <w:rPr>
          <w:rFonts w:ascii="Quicksand" w:hAnsi="Quicksand"/>
          <w:b/>
          <w:bCs/>
          <w:sz w:val="24"/>
          <w:szCs w:val="24"/>
        </w:rPr>
        <w:t>VII. Předávání osobních údajů</w:t>
      </w:r>
    </w:p>
    <w:p w14:paraId="04087C34" w14:textId="3386D59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O</w:t>
      </w:r>
      <w:r w:rsidRPr="00C37196">
        <w:rPr>
          <w:rFonts w:ascii="Quicksand" w:hAnsi="Quicksand"/>
          <w:sz w:val="24"/>
          <w:szCs w:val="24"/>
        </w:rPr>
        <w:t>sobní údaje nejsou předávány třetím osobám, s výjimkou zákonných povinností</w:t>
      </w:r>
      <w:r>
        <w:rPr>
          <w:rFonts w:ascii="Quicksand" w:hAnsi="Quicksand"/>
          <w:sz w:val="24"/>
          <w:szCs w:val="24"/>
        </w:rPr>
        <w:t xml:space="preserve"> (PČR, soud).</w:t>
      </w:r>
    </w:p>
    <w:p w14:paraId="5491923C" w14:textId="77777777" w:rsidR="00366962" w:rsidRPr="00C37196" w:rsidRDefault="00366962" w:rsidP="00C37196">
      <w:pPr>
        <w:rPr>
          <w:rFonts w:ascii="Quicksand" w:hAnsi="Quicksand"/>
          <w:sz w:val="24"/>
          <w:szCs w:val="24"/>
        </w:rPr>
      </w:pPr>
    </w:p>
    <w:p w14:paraId="7C450532" w14:textId="56BCE1EA" w:rsidR="00366962" w:rsidRPr="00C37196" w:rsidRDefault="00C37196" w:rsidP="00C37196">
      <w:pPr>
        <w:rPr>
          <w:rFonts w:ascii="Quicksand" w:hAnsi="Quicksand"/>
          <w:b/>
          <w:bCs/>
          <w:sz w:val="24"/>
          <w:szCs w:val="24"/>
        </w:rPr>
      </w:pPr>
      <w:r w:rsidRPr="00C37196">
        <w:rPr>
          <w:rFonts w:ascii="Quicksand" w:hAnsi="Quicksand"/>
          <w:b/>
          <w:bCs/>
          <w:sz w:val="24"/>
          <w:szCs w:val="24"/>
        </w:rPr>
        <w:t>VIII. Práva subjektu údajů</w:t>
      </w:r>
    </w:p>
    <w:p w14:paraId="7EE544DF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Subjekt údajů má právo:</w:t>
      </w:r>
    </w:p>
    <w:p w14:paraId="3C902D00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- na přístup ke svým osobním údajům,</w:t>
      </w:r>
    </w:p>
    <w:p w14:paraId="021B3AEF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- na opravu nebo výmaz,</w:t>
      </w:r>
    </w:p>
    <w:p w14:paraId="69B0A5CF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- na omezení zpracování,</w:t>
      </w:r>
    </w:p>
    <w:p w14:paraId="38D5DEE1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lastRenderedPageBreak/>
        <w:t>- na přenositelnost údajů,</w:t>
      </w:r>
    </w:p>
    <w:p w14:paraId="7FD41EB3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- podat stížnost u Úřadu pro ochranu osobních údajů.</w:t>
      </w:r>
    </w:p>
    <w:p w14:paraId="07AAA561" w14:textId="77777777" w:rsidR="00366962" w:rsidRPr="00C37196" w:rsidRDefault="00366962" w:rsidP="00C37196">
      <w:pPr>
        <w:rPr>
          <w:rFonts w:ascii="Quicksand" w:hAnsi="Quicksand"/>
          <w:sz w:val="24"/>
          <w:szCs w:val="24"/>
        </w:rPr>
      </w:pPr>
    </w:p>
    <w:p w14:paraId="18C7ADEB" w14:textId="14DF7422" w:rsidR="00366962" w:rsidRPr="00C37196" w:rsidRDefault="00C37196" w:rsidP="00C37196">
      <w:pPr>
        <w:rPr>
          <w:rFonts w:ascii="Quicksand" w:hAnsi="Quicksand"/>
          <w:b/>
          <w:bCs/>
          <w:sz w:val="24"/>
          <w:szCs w:val="24"/>
        </w:rPr>
      </w:pPr>
      <w:r w:rsidRPr="00C37196">
        <w:rPr>
          <w:rFonts w:ascii="Quicksand" w:hAnsi="Quicksand"/>
          <w:b/>
          <w:bCs/>
          <w:sz w:val="24"/>
          <w:szCs w:val="24"/>
        </w:rPr>
        <w:t>IX. Dobrovolnost souhlasu</w:t>
      </w:r>
    </w:p>
    <w:p w14:paraId="3F67BFCD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Souhlas je udělen dobrovolně a může být kdykoli odvolán písemně nebo e-mailem.</w:t>
      </w:r>
    </w:p>
    <w:p w14:paraId="0A35F47E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Odvoláním souhlasu není dotčena zákonnost předchozího zpracování.</w:t>
      </w:r>
    </w:p>
    <w:p w14:paraId="52F13128" w14:textId="77777777" w:rsidR="00366962" w:rsidRPr="00C37196" w:rsidRDefault="00366962" w:rsidP="00C37196">
      <w:pPr>
        <w:rPr>
          <w:rFonts w:ascii="Quicksand" w:hAnsi="Quicksand"/>
          <w:sz w:val="24"/>
          <w:szCs w:val="24"/>
        </w:rPr>
      </w:pPr>
    </w:p>
    <w:p w14:paraId="7D8A13EE" w14:textId="5B76F60C" w:rsidR="00366962" w:rsidRPr="00C37196" w:rsidRDefault="00C37196" w:rsidP="00C37196">
      <w:pPr>
        <w:rPr>
          <w:rFonts w:ascii="Quicksand" w:hAnsi="Quicksand"/>
          <w:b/>
          <w:bCs/>
          <w:sz w:val="24"/>
          <w:szCs w:val="24"/>
        </w:rPr>
      </w:pPr>
      <w:r w:rsidRPr="00C37196">
        <w:rPr>
          <w:rFonts w:ascii="Quicksand" w:hAnsi="Quicksand"/>
          <w:b/>
          <w:bCs/>
          <w:sz w:val="24"/>
          <w:szCs w:val="24"/>
        </w:rPr>
        <w:t>X. Prohlášení</w:t>
      </w:r>
    </w:p>
    <w:p w14:paraId="6171F018" w14:textId="4946B340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Prohlašuji, že jsem byl/a srozumitelně informován/a o zpracování osobních údajů</w:t>
      </w:r>
      <w:r>
        <w:rPr>
          <w:rFonts w:ascii="Quicksand" w:hAnsi="Quicksand"/>
          <w:sz w:val="24"/>
          <w:szCs w:val="24"/>
        </w:rPr>
        <w:t xml:space="preserve"> </w:t>
      </w:r>
      <w:r w:rsidRPr="00C37196">
        <w:rPr>
          <w:rFonts w:ascii="Quicksand" w:hAnsi="Quicksand"/>
          <w:sz w:val="24"/>
          <w:szCs w:val="24"/>
        </w:rPr>
        <w:t>a uděluji souhlas se zpracováním osobních údajů v uvedeném rozsahu.</w:t>
      </w:r>
    </w:p>
    <w:p w14:paraId="6B14BB5B" w14:textId="77777777" w:rsidR="00366962" w:rsidRPr="00C37196" w:rsidRDefault="00366962" w:rsidP="00C37196">
      <w:pPr>
        <w:rPr>
          <w:rFonts w:ascii="Quicksand" w:hAnsi="Quicksand"/>
          <w:sz w:val="24"/>
          <w:szCs w:val="24"/>
        </w:rPr>
      </w:pPr>
    </w:p>
    <w:p w14:paraId="15648ED1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Datum:</w:t>
      </w:r>
    </w:p>
    <w:p w14:paraId="4DC7AC09" w14:textId="77777777" w:rsidR="00366962" w:rsidRPr="00C37196" w:rsidRDefault="00C37196" w:rsidP="00C37196">
      <w:pPr>
        <w:rPr>
          <w:rFonts w:ascii="Quicksand" w:hAnsi="Quicksand"/>
          <w:sz w:val="24"/>
          <w:szCs w:val="24"/>
        </w:rPr>
      </w:pPr>
      <w:r w:rsidRPr="00C37196">
        <w:rPr>
          <w:rFonts w:ascii="Quicksand" w:hAnsi="Quicksand"/>
          <w:sz w:val="24"/>
          <w:szCs w:val="24"/>
        </w:rPr>
        <w:t>Podpis subjektu údajů / zákonného zástupce:</w:t>
      </w:r>
    </w:p>
    <w:p w14:paraId="001FB362" w14:textId="77777777" w:rsidR="00366962" w:rsidRPr="00C37196" w:rsidRDefault="00366962" w:rsidP="00C37196">
      <w:pPr>
        <w:rPr>
          <w:rFonts w:ascii="Quicksand" w:hAnsi="Quicksand"/>
        </w:rPr>
      </w:pPr>
    </w:p>
    <w:sectPr w:rsidR="00366962" w:rsidRPr="00C37196" w:rsidSect="00C37196">
      <w:footerReference w:type="default" r:id="rId8"/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51A9" w14:textId="77777777" w:rsidR="00C37196" w:rsidRDefault="00C37196" w:rsidP="00C37196">
      <w:pPr>
        <w:spacing w:after="0" w:line="240" w:lineRule="auto"/>
      </w:pPr>
      <w:r>
        <w:separator/>
      </w:r>
    </w:p>
  </w:endnote>
  <w:endnote w:type="continuationSeparator" w:id="0">
    <w:p w14:paraId="78AE5A9A" w14:textId="77777777" w:rsidR="00C37196" w:rsidRDefault="00C37196" w:rsidP="00C3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Quicksand">
    <w:charset w:val="EE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09565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E475CE" w14:textId="2B09DD4E" w:rsidR="00C37196" w:rsidRDefault="00C371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7877A6" w14:textId="77777777" w:rsidR="00C37196" w:rsidRDefault="00C37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6F3DB" w14:textId="77777777" w:rsidR="00C37196" w:rsidRDefault="00C37196" w:rsidP="00C37196">
      <w:pPr>
        <w:spacing w:after="0" w:line="240" w:lineRule="auto"/>
      </w:pPr>
      <w:r>
        <w:separator/>
      </w:r>
    </w:p>
  </w:footnote>
  <w:footnote w:type="continuationSeparator" w:id="0">
    <w:p w14:paraId="66FF591F" w14:textId="77777777" w:rsidR="00C37196" w:rsidRDefault="00C37196" w:rsidP="00C37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0407968">
    <w:abstractNumId w:val="8"/>
  </w:num>
  <w:num w:numId="2" w16cid:durableId="1935815916">
    <w:abstractNumId w:val="6"/>
  </w:num>
  <w:num w:numId="3" w16cid:durableId="74136793">
    <w:abstractNumId w:val="5"/>
  </w:num>
  <w:num w:numId="4" w16cid:durableId="99647219">
    <w:abstractNumId w:val="4"/>
  </w:num>
  <w:num w:numId="5" w16cid:durableId="2026439725">
    <w:abstractNumId w:val="7"/>
  </w:num>
  <w:num w:numId="6" w16cid:durableId="1685084602">
    <w:abstractNumId w:val="3"/>
  </w:num>
  <w:num w:numId="7" w16cid:durableId="1672174000">
    <w:abstractNumId w:val="2"/>
  </w:num>
  <w:num w:numId="8" w16cid:durableId="539167494">
    <w:abstractNumId w:val="1"/>
  </w:num>
  <w:num w:numId="9" w16cid:durableId="88356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6962"/>
    <w:rsid w:val="00AA1D8D"/>
    <w:rsid w:val="00B47730"/>
    <w:rsid w:val="00C37196"/>
    <w:rsid w:val="00CB0664"/>
    <w:rsid w:val="00ED33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E63C3"/>
  <w14:defaultImageDpi w14:val="300"/>
  <w15:docId w15:val="{B9002FC4-A35D-4A09-B649-08FED0E8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Milan Metzl</cp:lastModifiedBy>
  <cp:revision>2</cp:revision>
  <dcterms:created xsi:type="dcterms:W3CDTF">2013-12-23T23:15:00Z</dcterms:created>
  <dcterms:modified xsi:type="dcterms:W3CDTF">2026-01-07T16:25:00Z</dcterms:modified>
  <cp:category/>
</cp:coreProperties>
</file>