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737D" w14:textId="77777777" w:rsidR="00157AAB" w:rsidRPr="004F6391" w:rsidRDefault="00157AAB" w:rsidP="00024BD4">
      <w:pPr>
        <w:jc w:val="center"/>
        <w:rPr>
          <w:rFonts w:ascii="Quicksand" w:eastAsiaTheme="majorEastAsia" w:hAnsi="Quicksand" w:cstheme="majorBidi"/>
          <w:b/>
          <w:bCs/>
          <w:color w:val="002060"/>
          <w:sz w:val="32"/>
          <w:szCs w:val="32"/>
          <w:lang w:val="cs-CZ"/>
        </w:rPr>
      </w:pPr>
      <w:r w:rsidRPr="004F6391">
        <w:rPr>
          <w:rFonts w:ascii="Quicksand" w:eastAsiaTheme="majorEastAsia" w:hAnsi="Quicksand" w:cstheme="majorBidi"/>
          <w:b/>
          <w:bCs/>
          <w:color w:val="002060"/>
          <w:sz w:val="32"/>
          <w:szCs w:val="32"/>
          <w:lang w:val="cs-CZ"/>
        </w:rPr>
        <w:t>Smlouva o poskytování služeb</w:t>
      </w:r>
    </w:p>
    <w:p w14:paraId="51894E89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uzavřená dle § 1746 odst. 2 zákona č. 89/2012 Sb., občanský zákoník</w:t>
      </w:r>
    </w:p>
    <w:p w14:paraId="1B96CC97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I. Smluvní strany</w:t>
      </w:r>
    </w:p>
    <w:p w14:paraId="03338923" w14:textId="2E8FDBB4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Poskytovatel: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Obchodní firma / jméno: 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 w:rsidRPr="001F4056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Bc. Milan Metzl</w:t>
      </w:r>
      <w:r w:rsidR="001F4056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, Synapti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IČO: 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 w:rsidRPr="001F4056">
        <w:rPr>
          <w:rFonts w:ascii="Quicksand" w:eastAsiaTheme="majorEastAsia" w:hAnsi="Quicksand" w:cstheme="majorBidi"/>
          <w:b/>
          <w:bCs/>
          <w:color w:val="000000" w:themeColor="text1"/>
        </w:rPr>
        <w:t>65795032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Sídlo: 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 w:rsidRPr="001F4056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Kvítková 3687, 760 01 Zlín</w:t>
      </w:r>
    </w:p>
    <w:p w14:paraId="6B20B3BE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(dále jen „Poskytovatel“)</w:t>
      </w:r>
    </w:p>
    <w:p w14:paraId="609C6A6C" w14:textId="115F6883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Klient: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>Jméno a příjmení: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 xml:space="preserve">Datum narození: 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>Bydliště: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>Telefon / e-mail: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</w:p>
    <w:p w14:paraId="6BAB9F74" w14:textId="49CFAFD4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U nezletilého Klienta: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br/>
        <w:t>Zákonný zástupce: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</w:p>
    <w:p w14:paraId="32110666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(dále jen „Klient“)</w:t>
      </w:r>
    </w:p>
    <w:p w14:paraId="522F4834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4426E041">
          <v:rect id="_x0000_i1025" style="width:0;height:1.5pt" o:hralign="center" o:hrstd="t" o:hr="t" fillcolor="#a0a0a0" stroked="f"/>
        </w:pict>
      </w:r>
    </w:p>
    <w:p w14:paraId="7AF1C1DD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II. Předmět smlouvy</w:t>
      </w:r>
    </w:p>
    <w:p w14:paraId="27A7265C" w14:textId="77777777" w:rsidR="00157AAB" w:rsidRPr="00467F89" w:rsidRDefault="00157AAB" w:rsidP="00024BD4">
      <w:pPr>
        <w:numPr>
          <w:ilvl w:val="0"/>
          <w:numId w:val="1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Předmětem této smlouvy je závazek Poskytovatele poskytovat Klientovi služby v oblasti:</w:t>
      </w:r>
    </w:p>
    <w:p w14:paraId="48C2C5B9" w14:textId="77777777" w:rsidR="00157AAB" w:rsidRPr="00024BD4" w:rsidRDefault="00157AAB" w:rsidP="00024BD4">
      <w:pPr>
        <w:pStyle w:val="Odstavecseseznamem"/>
        <w:numPr>
          <w:ilvl w:val="0"/>
          <w:numId w:val="1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neurofeedbacku (EEG trénink),</w:t>
      </w:r>
    </w:p>
    <w:p w14:paraId="73281DC0" w14:textId="77777777" w:rsidR="00157AAB" w:rsidRPr="00024BD4" w:rsidRDefault="00157AAB" w:rsidP="00024BD4">
      <w:pPr>
        <w:pStyle w:val="Odstavecseseznamem"/>
        <w:numPr>
          <w:ilvl w:val="0"/>
          <w:numId w:val="1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biofeedbacku,</w:t>
      </w:r>
    </w:p>
    <w:p w14:paraId="650A3CE5" w14:textId="77777777" w:rsidR="00157AAB" w:rsidRPr="00024BD4" w:rsidRDefault="00157AAB" w:rsidP="00024BD4">
      <w:pPr>
        <w:pStyle w:val="Odstavecseseznamem"/>
        <w:numPr>
          <w:ilvl w:val="0"/>
          <w:numId w:val="1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kognitivních cvičení ve virtuální realitě (VR),</w:t>
      </w: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br/>
        <w:t>a závazek Klienta za tyto služby uhradit sjednanou cenu.</w:t>
      </w:r>
    </w:p>
    <w:p w14:paraId="54CEF7A1" w14:textId="71E6A8DF" w:rsidR="00157AAB" w:rsidRPr="00467F89" w:rsidRDefault="00157AAB" w:rsidP="00024BD4">
      <w:pPr>
        <w:numPr>
          <w:ilvl w:val="0"/>
          <w:numId w:val="1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Služby nejsou zdravotními službami dle zákona č. 372/2011 Sb. a nenahrazují lékařskou, psychologickou</w:t>
      </w:r>
      <w:r>
        <w:rPr>
          <w:rFonts w:ascii="Quicksand" w:eastAsiaTheme="majorEastAsia" w:hAnsi="Quicksand" w:cstheme="majorBidi"/>
          <w:color w:val="000000" w:themeColor="text1"/>
          <w:lang w:val="cs-CZ"/>
        </w:rPr>
        <w:t>-terapeutickou</w:t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 xml:space="preserve"> ani jinou odbornou zdravotní péči.</w:t>
      </w:r>
    </w:p>
    <w:p w14:paraId="22FEBE8C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2275F415">
          <v:rect id="_x0000_i1026" style="width:0;height:1.5pt" o:hralign="center" o:hrstd="t" o:hr="t" fillcolor="#a0a0a0" stroked="f"/>
        </w:pict>
      </w:r>
    </w:p>
    <w:p w14:paraId="21E0B948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III. Rozsah a forma poskytování služeb</w:t>
      </w:r>
    </w:p>
    <w:p w14:paraId="4530D061" w14:textId="77777777" w:rsidR="00157AAB" w:rsidRPr="00467F89" w:rsidRDefault="00157AAB" w:rsidP="00024BD4">
      <w:pPr>
        <w:numPr>
          <w:ilvl w:val="0"/>
          <w:numId w:val="2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Služby jsou poskytovány formou individuálních sezení dle aktuální nabídky Poskytovatele.</w:t>
      </w:r>
    </w:p>
    <w:p w14:paraId="7CB6EF2D" w14:textId="77777777" w:rsidR="00157AAB" w:rsidRPr="00467F89" w:rsidRDefault="00157AAB" w:rsidP="00024BD4">
      <w:pPr>
        <w:numPr>
          <w:ilvl w:val="0"/>
          <w:numId w:val="2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Konkrétní rozsah služeb je dán:</w:t>
      </w:r>
    </w:p>
    <w:p w14:paraId="11029EAA" w14:textId="77777777" w:rsidR="00157AAB" w:rsidRPr="00024BD4" w:rsidRDefault="00157AAB" w:rsidP="00024BD4">
      <w:pPr>
        <w:pStyle w:val="Odstavecseseznamem"/>
        <w:numPr>
          <w:ilvl w:val="0"/>
          <w:numId w:val="17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jednotlivými objednávkami Klienta, nebo</w:t>
      </w:r>
    </w:p>
    <w:p w14:paraId="2C8DA96A" w14:textId="77777777" w:rsidR="00157AAB" w:rsidRPr="00024BD4" w:rsidRDefault="00157AAB" w:rsidP="00024BD4">
      <w:pPr>
        <w:pStyle w:val="Odstavecseseznamem"/>
        <w:numPr>
          <w:ilvl w:val="0"/>
          <w:numId w:val="17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zakoupeným balíčkem sezení.</w:t>
      </w:r>
    </w:p>
    <w:p w14:paraId="51A91030" w14:textId="77777777" w:rsidR="00157AAB" w:rsidRPr="00467F89" w:rsidRDefault="00157AAB" w:rsidP="00024BD4">
      <w:pPr>
        <w:numPr>
          <w:ilvl w:val="0"/>
          <w:numId w:val="2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Poskytovatel není povinen zajistit konkrétní výsledek tréninku.</w:t>
      </w:r>
    </w:p>
    <w:p w14:paraId="5DDEE29E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222194A2">
          <v:rect id="_x0000_i1027" style="width:0;height:1.5pt" o:hralign="center" o:hrstd="t" o:hr="t" fillcolor="#a0a0a0" stroked="f"/>
        </w:pict>
      </w:r>
    </w:p>
    <w:p w14:paraId="4AA8B7CA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lastRenderedPageBreak/>
        <w:t>IV. Cena a platební podmínky</w:t>
      </w:r>
    </w:p>
    <w:p w14:paraId="459FABE8" w14:textId="2F65D3D0" w:rsidR="00157AAB" w:rsidRPr="00024BD4" w:rsidRDefault="00157AAB" w:rsidP="00024BD4">
      <w:pPr>
        <w:pStyle w:val="Odstavecseseznamem"/>
        <w:numPr>
          <w:ilvl w:val="0"/>
          <w:numId w:val="1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Cena služeb je stanovena dle platného ceníku Poskytovatele.</w:t>
      </w:r>
    </w:p>
    <w:p w14:paraId="1992AFDC" w14:textId="3537478F" w:rsidR="00157AAB" w:rsidRPr="00024BD4" w:rsidRDefault="00157AAB" w:rsidP="00024BD4">
      <w:pPr>
        <w:pStyle w:val="Odstavecseseznamem"/>
        <w:numPr>
          <w:ilvl w:val="0"/>
          <w:numId w:val="1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Klient může hradit služby:</w:t>
      </w:r>
    </w:p>
    <w:p w14:paraId="2B7156D3" w14:textId="77777777" w:rsidR="00157AAB" w:rsidRPr="00024BD4" w:rsidRDefault="00157AAB" w:rsidP="00024BD4">
      <w:pPr>
        <w:pStyle w:val="Odstavecseseznamem"/>
        <w:numPr>
          <w:ilvl w:val="0"/>
          <w:numId w:val="21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za jednotlivá sezení, nebo</w:t>
      </w:r>
    </w:p>
    <w:p w14:paraId="361CB691" w14:textId="77777777" w:rsidR="00157AAB" w:rsidRPr="00024BD4" w:rsidRDefault="00157AAB" w:rsidP="00024BD4">
      <w:pPr>
        <w:pStyle w:val="Odstavecseseznamem"/>
        <w:numPr>
          <w:ilvl w:val="0"/>
          <w:numId w:val="21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formou předplaceného balíčku.</w:t>
      </w:r>
    </w:p>
    <w:p w14:paraId="0694B152" w14:textId="10259452" w:rsidR="00157AAB" w:rsidRPr="00024BD4" w:rsidRDefault="00157AAB" w:rsidP="00024BD4">
      <w:pPr>
        <w:pStyle w:val="Odstavecseseznamem"/>
        <w:numPr>
          <w:ilvl w:val="0"/>
          <w:numId w:val="1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 xml:space="preserve">Cena </w:t>
      </w:r>
      <w:r w:rsidR="004F6391" w:rsidRPr="00024BD4">
        <w:rPr>
          <w:rFonts w:ascii="Quicksand" w:eastAsiaTheme="majorEastAsia" w:hAnsi="Quicksand" w:cstheme="majorBidi"/>
          <w:color w:val="000000" w:themeColor="text1"/>
          <w:lang w:val="cs-CZ"/>
        </w:rPr>
        <w:t>služeb</w:t>
      </w: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 xml:space="preserve"> je splatná před zahájením čerpání.</w:t>
      </w:r>
    </w:p>
    <w:p w14:paraId="64893E78" w14:textId="074EA3EE" w:rsidR="004F6391" w:rsidRPr="00024BD4" w:rsidRDefault="004F6391" w:rsidP="00024BD4">
      <w:pPr>
        <w:pStyle w:val="Odstavecseseznamem"/>
        <w:numPr>
          <w:ilvl w:val="0"/>
          <w:numId w:val="1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Úhrada se provádí bezhotovostně na účet Poskytovatele.</w:t>
      </w:r>
    </w:p>
    <w:p w14:paraId="116345B3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7D4FDDDE">
          <v:rect id="_x0000_i1028" style="width:0;height:1.5pt" o:hralign="center" o:hrstd="t" o:hr="t" fillcolor="#a0a0a0" stroked="f"/>
        </w:pict>
      </w:r>
    </w:p>
    <w:p w14:paraId="28758C44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V. Balíčky sezení a jejich platnost</w:t>
      </w:r>
    </w:p>
    <w:p w14:paraId="4092D4EF" w14:textId="4ECAD577" w:rsidR="00157AAB" w:rsidRPr="00237E1F" w:rsidRDefault="00157AAB" w:rsidP="00237E1F">
      <w:pPr>
        <w:pStyle w:val="Odstavecseseznamem"/>
        <w:numPr>
          <w:ilvl w:val="0"/>
          <w:numId w:val="3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Balíček představuje předplacený počet sezení.</w:t>
      </w:r>
    </w:p>
    <w:p w14:paraId="5BFFB28F" w14:textId="4F4832E5" w:rsidR="00157AAB" w:rsidRPr="00237E1F" w:rsidRDefault="00157AAB" w:rsidP="00237E1F">
      <w:pPr>
        <w:pStyle w:val="Odstavecseseznamem"/>
        <w:numPr>
          <w:ilvl w:val="0"/>
          <w:numId w:val="3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Balíček je platný </w:t>
      </w:r>
      <w:r w:rsidRPr="00237E1F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12 měsíců od data prvního čerpání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, není-li uvedeno jinak.</w:t>
      </w:r>
    </w:p>
    <w:p w14:paraId="5EABB4AA" w14:textId="27CF629A" w:rsidR="00157AAB" w:rsidRPr="00237E1F" w:rsidRDefault="00157AAB" w:rsidP="00237E1F">
      <w:pPr>
        <w:pStyle w:val="Odstavecseseznamem"/>
        <w:numPr>
          <w:ilvl w:val="0"/>
          <w:numId w:val="3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Nevyčerpaná sezení po uplynutí platnosti balíčku bez náhrady propadají, nedohodnou-li se písemně smluvní strany jinak.</w:t>
      </w:r>
    </w:p>
    <w:p w14:paraId="7C3EBF89" w14:textId="78ACC2EC" w:rsidR="00157AAB" w:rsidRPr="00237E1F" w:rsidRDefault="00157AAB" w:rsidP="00237E1F">
      <w:pPr>
        <w:pStyle w:val="Odstavecseseznamem"/>
        <w:numPr>
          <w:ilvl w:val="0"/>
          <w:numId w:val="3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Balíčky jsou nepřevoditelné na jiné osoby.</w:t>
      </w:r>
    </w:p>
    <w:p w14:paraId="0E46EC8C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7BFF97BD">
          <v:rect id="_x0000_i1029" style="width:0;height:1.5pt" o:hralign="center" o:hrstd="t" o:hr="t" fillcolor="#a0a0a0" stroked="f"/>
        </w:pict>
      </w:r>
    </w:p>
    <w:p w14:paraId="51ED816A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VI. Rezervace termínů a storno podmínky</w:t>
      </w:r>
    </w:p>
    <w:p w14:paraId="1F8A8F15" w14:textId="77777777" w:rsidR="00157AAB" w:rsidRPr="00024BD4" w:rsidRDefault="00157AAB" w:rsidP="00024BD4">
      <w:pPr>
        <w:pStyle w:val="Odstavecseseznamem"/>
        <w:numPr>
          <w:ilvl w:val="0"/>
          <w:numId w:val="2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Termíny sezení jsou rezervovány předem.</w:t>
      </w:r>
    </w:p>
    <w:p w14:paraId="5B69594B" w14:textId="7A24D3F8" w:rsidR="0082402C" w:rsidRPr="00024BD4" w:rsidRDefault="0082402C" w:rsidP="00024BD4">
      <w:pPr>
        <w:pStyle w:val="Odstavecseseznamem"/>
        <w:numPr>
          <w:ilvl w:val="0"/>
          <w:numId w:val="2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Klient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má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právo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zrušit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rezervovaný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termín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bez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storno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poplatku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,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pokud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je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zrušení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provedeno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nejpozději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24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hodin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před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plánovaným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zahájením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 xml:space="preserve"> </w:t>
      </w:r>
      <w:proofErr w:type="spellStart"/>
      <w:r w:rsidRPr="00024BD4">
        <w:rPr>
          <w:rFonts w:ascii="Quicksand" w:eastAsiaTheme="majorEastAsia" w:hAnsi="Quicksand" w:cstheme="majorBidi"/>
          <w:color w:val="000000" w:themeColor="text1"/>
        </w:rPr>
        <w:t>sezení</w:t>
      </w:r>
      <w:proofErr w:type="spellEnd"/>
      <w:r w:rsidRPr="00024BD4">
        <w:rPr>
          <w:rFonts w:ascii="Quicksand" w:eastAsiaTheme="majorEastAsia" w:hAnsi="Quicksand" w:cstheme="majorBidi"/>
          <w:color w:val="000000" w:themeColor="text1"/>
        </w:rPr>
        <w:t>.</w:t>
      </w:r>
    </w:p>
    <w:p w14:paraId="0F95FDBC" w14:textId="2BFA35C4" w:rsidR="00157AAB" w:rsidRPr="00024BD4" w:rsidRDefault="00157AAB" w:rsidP="00024BD4">
      <w:pPr>
        <w:pStyle w:val="Odstavecseseznamem"/>
        <w:numPr>
          <w:ilvl w:val="0"/>
          <w:numId w:val="2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 xml:space="preserve">V případě zrušení méně než 24 hodin předem nebo nedostavení se je Poskytovatel oprávněn účtovat náhradu </w:t>
      </w:r>
      <w:r w:rsidR="004F6391" w:rsidRPr="00024BD4">
        <w:rPr>
          <w:rFonts w:ascii="Quicksand" w:eastAsiaTheme="majorEastAsia" w:hAnsi="Quicksand" w:cstheme="majorBidi"/>
          <w:color w:val="000000" w:themeColor="text1"/>
          <w:lang w:val="cs-CZ"/>
        </w:rPr>
        <w:t>ve výši 100% ceny sezení</w:t>
      </w:r>
      <w:r w:rsidR="00BA16DB" w:rsidRPr="00024BD4">
        <w:rPr>
          <w:rFonts w:ascii="Quicksand" w:eastAsiaTheme="majorEastAsia" w:hAnsi="Quicksand" w:cstheme="majorBidi"/>
          <w:color w:val="000000" w:themeColor="text1"/>
          <w:lang w:val="cs-CZ"/>
        </w:rPr>
        <w:t xml:space="preserve"> </w:t>
      </w:r>
      <w:r w:rsidR="004F6391" w:rsidRPr="00024BD4">
        <w:rPr>
          <w:rFonts w:ascii="Quicksand" w:eastAsiaTheme="majorEastAsia" w:hAnsi="Quicksand" w:cstheme="majorBidi"/>
          <w:color w:val="000000" w:themeColor="text1"/>
          <w:lang w:val="cs-CZ"/>
        </w:rPr>
        <w:t>nedohodnou-li se smluvní strany jinak.</w:t>
      </w:r>
    </w:p>
    <w:p w14:paraId="0833D690" w14:textId="77777777" w:rsidR="00157AAB" w:rsidRPr="00024BD4" w:rsidRDefault="00157AAB" w:rsidP="00024BD4">
      <w:pPr>
        <w:pStyle w:val="Odstavecseseznamem"/>
        <w:numPr>
          <w:ilvl w:val="0"/>
          <w:numId w:val="23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024BD4">
        <w:rPr>
          <w:rFonts w:ascii="Quicksand" w:eastAsiaTheme="majorEastAsia" w:hAnsi="Quicksand" w:cstheme="majorBidi"/>
          <w:color w:val="000000" w:themeColor="text1"/>
          <w:lang w:val="cs-CZ"/>
        </w:rPr>
        <w:t>U balíčků se při porušení storno podmínek odečítá příslušný počet sezení.</w:t>
      </w:r>
    </w:p>
    <w:p w14:paraId="47BB0DCE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176D24E0">
          <v:rect id="_x0000_i1030" style="width:0;height:1.5pt" o:hralign="center" o:hrstd="t" o:hr="t" fillcolor="#a0a0a0" stroked="f"/>
        </w:pict>
      </w:r>
    </w:p>
    <w:p w14:paraId="6E0D7A37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VII. Povinnosti klienta</w:t>
      </w:r>
    </w:p>
    <w:p w14:paraId="16167CC7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Tato část stanovuje základní povinnosti klienta tréninkového centra. Jejím cílem je zajistit bezpečný, respektující a efektivní průběh poskytovaných služeb.</w:t>
      </w:r>
    </w:p>
    <w:p w14:paraId="77BDAE3D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7.1 Obecné povinnosti klienta</w:t>
      </w:r>
    </w:p>
    <w:p w14:paraId="42D25318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je povinen:</w:t>
      </w:r>
    </w:p>
    <w:p w14:paraId="19CAA027" w14:textId="77777777" w:rsidR="00157AAB" w:rsidRPr="00237E1F" w:rsidRDefault="00157AAB" w:rsidP="00237E1F">
      <w:pPr>
        <w:pStyle w:val="Odstavecseseznamem"/>
        <w:numPr>
          <w:ilvl w:val="0"/>
          <w:numId w:val="2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poskytovat pravdivé, úplné a aktuální informace důležité pro průběh tréninku,</w:t>
      </w:r>
    </w:p>
    <w:p w14:paraId="0D6EC93E" w14:textId="1C10E036" w:rsidR="00157AAB" w:rsidRPr="00237E1F" w:rsidRDefault="00157AAB" w:rsidP="00237E1F">
      <w:pPr>
        <w:pStyle w:val="Odstavecseseznamem"/>
        <w:numPr>
          <w:ilvl w:val="0"/>
          <w:numId w:val="2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informovat Poskytovatele o změnách zdravotního, psychického nebo jiného relevantního stavu,</w:t>
      </w:r>
      <w:r w:rsidR="004F6391"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 vzhledem k zamýšlenému tréningu.</w:t>
      </w:r>
    </w:p>
    <w:p w14:paraId="6E2B1787" w14:textId="77777777" w:rsidR="00157AAB" w:rsidRPr="00237E1F" w:rsidRDefault="00157AAB" w:rsidP="00237E1F">
      <w:pPr>
        <w:pStyle w:val="Odstavecseseznamem"/>
        <w:numPr>
          <w:ilvl w:val="0"/>
          <w:numId w:val="2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řídit se pokyny pracovníků centra během jednotlivých sezení,</w:t>
      </w:r>
    </w:p>
    <w:p w14:paraId="0632853E" w14:textId="77777777" w:rsidR="00157AAB" w:rsidRPr="00237E1F" w:rsidRDefault="00157AAB" w:rsidP="00237E1F">
      <w:pPr>
        <w:pStyle w:val="Odstavecseseznamem"/>
        <w:numPr>
          <w:ilvl w:val="0"/>
          <w:numId w:val="2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chovat se slušně a ohleduplně k personálu i ostatním klientům.</w:t>
      </w:r>
    </w:p>
    <w:p w14:paraId="26BE22BA" w14:textId="77777777" w:rsidR="004F6391" w:rsidRDefault="004F6391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</w:p>
    <w:p w14:paraId="5B2E3DEA" w14:textId="3AFA132B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7.2 Docházka a časová odpovědnost</w:t>
      </w:r>
    </w:p>
    <w:p w14:paraId="180A2229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se zavazuje:</w:t>
      </w:r>
    </w:p>
    <w:p w14:paraId="57CD44CD" w14:textId="77777777" w:rsidR="00157AAB" w:rsidRPr="00237E1F" w:rsidRDefault="00157AAB" w:rsidP="00237E1F">
      <w:pPr>
        <w:pStyle w:val="Odstavecseseznamem"/>
        <w:numPr>
          <w:ilvl w:val="0"/>
          <w:numId w:val="2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lastRenderedPageBreak/>
        <w:t>dostavit se na sjednané termíny včas,</w:t>
      </w:r>
    </w:p>
    <w:p w14:paraId="78D5585E" w14:textId="77777777" w:rsidR="00157AAB" w:rsidRPr="00237E1F" w:rsidRDefault="00157AAB" w:rsidP="00237E1F">
      <w:pPr>
        <w:pStyle w:val="Odstavecseseznamem"/>
        <w:numPr>
          <w:ilvl w:val="0"/>
          <w:numId w:val="2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zrušit nebo změnit rezervovaný termín nejpozději 24 hodin předem,</w:t>
      </w:r>
    </w:p>
    <w:p w14:paraId="2BABFD92" w14:textId="458482E7" w:rsidR="00157AAB" w:rsidRPr="00237E1F" w:rsidRDefault="00157AAB" w:rsidP="00237E1F">
      <w:pPr>
        <w:pStyle w:val="Odstavecseseznamem"/>
        <w:numPr>
          <w:ilvl w:val="0"/>
          <w:numId w:val="2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respektovat storno podmínky stanovené </w:t>
      </w:r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>touto smlouvou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.</w:t>
      </w:r>
    </w:p>
    <w:p w14:paraId="002B816A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V případě pozdního zrušení nebo nedostavení se je Poskytovatel oprávněn účtovat náhradu za rezervovaný čas nebo odečíst odpovídající počet sezení z předplaceného balíčku.</w:t>
      </w:r>
    </w:p>
    <w:p w14:paraId="20107BE7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7.3 Bezpečnost a ochrana zdraví</w:t>
      </w:r>
    </w:p>
    <w:p w14:paraId="336E0FD5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je povinen:</w:t>
      </w:r>
    </w:p>
    <w:p w14:paraId="2062281C" w14:textId="77777777" w:rsidR="00157AAB" w:rsidRPr="00237E1F" w:rsidRDefault="00157AAB" w:rsidP="00237E1F">
      <w:pPr>
        <w:pStyle w:val="Odstavecseseznamem"/>
        <w:numPr>
          <w:ilvl w:val="0"/>
          <w:numId w:val="2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dodržovat bezpečnostní pokyny související s využíváním neurofeedbacku, biofeedbacku a virtuální reality,</w:t>
      </w:r>
    </w:p>
    <w:p w14:paraId="70A989D1" w14:textId="530C1968" w:rsidR="00157AAB" w:rsidRPr="00237E1F" w:rsidRDefault="00157AAB" w:rsidP="00237E1F">
      <w:pPr>
        <w:pStyle w:val="Odstavecseseznamem"/>
        <w:numPr>
          <w:ilvl w:val="0"/>
          <w:numId w:val="2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neprodleně informovat pracovníka centra o jakýchkoli nepříjemných pocitech (např. bolest hlavy, závratě, nevolnost, únava</w:t>
      </w:r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>...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),</w:t>
      </w:r>
    </w:p>
    <w:p w14:paraId="33191A5A" w14:textId="77777777" w:rsidR="00157AAB" w:rsidRPr="00237E1F" w:rsidRDefault="00157AAB" w:rsidP="00237E1F">
      <w:pPr>
        <w:pStyle w:val="Odstavecseseznamem"/>
        <w:numPr>
          <w:ilvl w:val="0"/>
          <w:numId w:val="2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neúčastnit se sezení pod vlivem alkoholu nebo jiných návykových látek.</w:t>
      </w:r>
    </w:p>
    <w:p w14:paraId="6514B93F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7.4 Používání zařízení a vybavení</w:t>
      </w:r>
    </w:p>
    <w:p w14:paraId="67139BD2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se zavazuje:</w:t>
      </w:r>
    </w:p>
    <w:p w14:paraId="764DC3BE" w14:textId="77777777" w:rsidR="00157AAB" w:rsidRPr="00237E1F" w:rsidRDefault="00157AAB" w:rsidP="00237E1F">
      <w:pPr>
        <w:pStyle w:val="Odstavecseseznamem"/>
        <w:numPr>
          <w:ilvl w:val="0"/>
          <w:numId w:val="27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zacházet se svěřeným technickým a jiným vybavením šetrně,</w:t>
      </w:r>
    </w:p>
    <w:p w14:paraId="205B44EA" w14:textId="77777777" w:rsidR="00157AAB" w:rsidRPr="00237E1F" w:rsidRDefault="00157AAB" w:rsidP="00237E1F">
      <w:pPr>
        <w:pStyle w:val="Odstavecseseznamem"/>
        <w:numPr>
          <w:ilvl w:val="0"/>
          <w:numId w:val="27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nezasahovat do nastavení zařízení bez souhlasu pracovníka centra,</w:t>
      </w:r>
    </w:p>
    <w:p w14:paraId="686F8645" w14:textId="77777777" w:rsidR="00157AAB" w:rsidRPr="00237E1F" w:rsidRDefault="00157AAB" w:rsidP="00237E1F">
      <w:pPr>
        <w:pStyle w:val="Odstavecseseznamem"/>
        <w:numPr>
          <w:ilvl w:val="0"/>
          <w:numId w:val="27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nahradit škodu způsobenou úmyslně nebo hrubou nedbalostí v souladu s právními předpisy.</w:t>
      </w:r>
    </w:p>
    <w:p w14:paraId="197EE6ED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7.5 Nezletilí klienti</w:t>
      </w:r>
    </w:p>
    <w:p w14:paraId="346DCE1E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U nezletilých klientů odpovídá za plnění povinností zákonný zástupce, který je povinen:</w:t>
      </w:r>
    </w:p>
    <w:p w14:paraId="73891B54" w14:textId="77777777" w:rsidR="00157AAB" w:rsidRPr="00237E1F" w:rsidRDefault="00157AAB" w:rsidP="00237E1F">
      <w:pPr>
        <w:pStyle w:val="Odstavecseseznamem"/>
        <w:numPr>
          <w:ilvl w:val="0"/>
          <w:numId w:val="28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zajistit docházku nezletilého klienta,</w:t>
      </w:r>
    </w:p>
    <w:p w14:paraId="6DEA5BD3" w14:textId="77777777" w:rsidR="00157AAB" w:rsidRPr="00237E1F" w:rsidRDefault="00157AAB" w:rsidP="00237E1F">
      <w:pPr>
        <w:pStyle w:val="Odstavecseseznamem"/>
        <w:numPr>
          <w:ilvl w:val="0"/>
          <w:numId w:val="28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informovat Poskytovatele o všech podstatných změnách zdravotního nebo psychického stavu dítěte,</w:t>
      </w:r>
    </w:p>
    <w:p w14:paraId="52D1A6A9" w14:textId="77777777" w:rsidR="00157AAB" w:rsidRPr="00237E1F" w:rsidRDefault="00157AAB" w:rsidP="00237E1F">
      <w:pPr>
        <w:pStyle w:val="Odstavecseseznamem"/>
        <w:numPr>
          <w:ilvl w:val="0"/>
          <w:numId w:val="28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spolupracovat s pracovníky centra při nastavování tréninkového plánu.</w:t>
      </w:r>
    </w:p>
    <w:p w14:paraId="4FF388B8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7.6 Respektování charakteru služeb</w:t>
      </w:r>
    </w:p>
    <w:p w14:paraId="4CD0E731" w14:textId="77777777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bere na vědomí, že:</w:t>
      </w:r>
    </w:p>
    <w:p w14:paraId="05420F4E" w14:textId="77777777" w:rsidR="00157AAB" w:rsidRPr="00237E1F" w:rsidRDefault="00157AAB" w:rsidP="00237E1F">
      <w:pPr>
        <w:pStyle w:val="Odstavecseseznamem"/>
        <w:numPr>
          <w:ilvl w:val="0"/>
          <w:numId w:val="2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poskytované služby nejsou zdravotními službami,</w:t>
      </w:r>
    </w:p>
    <w:p w14:paraId="5251E845" w14:textId="77777777" w:rsidR="00157AAB" w:rsidRPr="00237E1F" w:rsidRDefault="00157AAB" w:rsidP="00237E1F">
      <w:pPr>
        <w:pStyle w:val="Odstavecseseznamem"/>
        <w:numPr>
          <w:ilvl w:val="0"/>
          <w:numId w:val="2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výsledky tréninku jsou individuální a nelze je garantovat,</w:t>
      </w:r>
    </w:p>
    <w:p w14:paraId="2B487D1A" w14:textId="77777777" w:rsidR="00157AAB" w:rsidRPr="00237E1F" w:rsidRDefault="00157AAB" w:rsidP="00237E1F">
      <w:pPr>
        <w:pStyle w:val="Odstavecseseznamem"/>
        <w:numPr>
          <w:ilvl w:val="0"/>
          <w:numId w:val="29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opakované nebo závažné porušení povinností může vést k omezení nebo ukončení poskytování služeb.</w:t>
      </w:r>
    </w:p>
    <w:p w14:paraId="16F426B7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512C588D">
          <v:rect id="_x0000_i1031" style="width:0;height:1.5pt" o:hralign="center" o:hrstd="t" o:hr="t" fillcolor="#a0a0a0" stroked="f"/>
        </w:pict>
      </w:r>
    </w:p>
    <w:p w14:paraId="2F7DECE9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VIII. Odpovědnost a omezení odpovědnosti</w:t>
      </w:r>
    </w:p>
    <w:p w14:paraId="0CF6637D" w14:textId="77777777" w:rsidR="00157AAB" w:rsidRPr="00237E1F" w:rsidRDefault="00157AAB" w:rsidP="00237E1F">
      <w:pPr>
        <w:pStyle w:val="Odstavecseseznamem"/>
        <w:numPr>
          <w:ilvl w:val="0"/>
          <w:numId w:val="30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Klient bere na vědomí, že výsledky služeb jsou individuální.</w:t>
      </w:r>
    </w:p>
    <w:p w14:paraId="635378C4" w14:textId="77777777" w:rsidR="00157AAB" w:rsidRPr="00237E1F" w:rsidRDefault="00157AAB" w:rsidP="00237E1F">
      <w:pPr>
        <w:pStyle w:val="Odstavecseseznamem"/>
        <w:numPr>
          <w:ilvl w:val="0"/>
          <w:numId w:val="30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Poskytovatel neodpovídá za nenaplnění očekávání Klienta.</w:t>
      </w:r>
    </w:p>
    <w:p w14:paraId="144CE68D" w14:textId="77777777" w:rsidR="00157AAB" w:rsidRPr="00237E1F" w:rsidRDefault="00157AAB" w:rsidP="00237E1F">
      <w:pPr>
        <w:pStyle w:val="Odstavecseseznamem"/>
        <w:numPr>
          <w:ilvl w:val="0"/>
          <w:numId w:val="30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Odpovědnost Poskytovatele je omezena v rozsahu přípustném právními předpisy.</w:t>
      </w:r>
    </w:p>
    <w:p w14:paraId="65355F8D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lastRenderedPageBreak/>
        <w:pict w14:anchorId="2D4DF563">
          <v:rect id="_x0000_i1032" style="width:0;height:1.5pt" o:hralign="center" o:hrstd="t" o:hr="t" fillcolor="#a0a0a0" stroked="f"/>
        </w:pict>
      </w:r>
    </w:p>
    <w:p w14:paraId="4B9F8421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IX. Ochrana osobních údajů</w:t>
      </w:r>
    </w:p>
    <w:p w14:paraId="419CD302" w14:textId="77777777" w:rsidR="00157AAB" w:rsidRPr="00237E1F" w:rsidRDefault="00157AAB" w:rsidP="00237E1F">
      <w:pPr>
        <w:pStyle w:val="Odstavecseseznamem"/>
        <w:numPr>
          <w:ilvl w:val="0"/>
          <w:numId w:val="3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Poskytovatel zpracovává osobní údaje Klienta v souladu s právními předpisy.</w:t>
      </w:r>
    </w:p>
    <w:p w14:paraId="3857D895" w14:textId="6BA1EFF2" w:rsidR="00157AAB" w:rsidRPr="00237E1F" w:rsidRDefault="00157AAB" w:rsidP="00237E1F">
      <w:pPr>
        <w:pStyle w:val="Odstavecseseznamem"/>
        <w:numPr>
          <w:ilvl w:val="0"/>
          <w:numId w:val="34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Podrobnosti jsou upraveny v samostatném dokumentu </w:t>
      </w:r>
      <w:r w:rsidR="00440C05" w:rsidRPr="00237E1F">
        <w:rPr>
          <w:rFonts w:ascii="Quicksand" w:eastAsiaTheme="majorEastAsia" w:hAnsi="Quicksand" w:cstheme="majorBidi"/>
          <w:color w:val="000000" w:themeColor="text1"/>
          <w:lang w:val="cs-CZ"/>
        </w:rPr>
        <w:t>Souhlas s poskytoáním osobních údajů (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GDPR</w:t>
      </w:r>
      <w:r w:rsidR="00440C05" w:rsidRPr="00237E1F">
        <w:rPr>
          <w:rFonts w:ascii="Quicksand" w:eastAsiaTheme="majorEastAsia" w:hAnsi="Quicksand" w:cstheme="majorBidi"/>
          <w:color w:val="000000" w:themeColor="text1"/>
          <w:lang w:val="cs-CZ"/>
        </w:rPr>
        <w:t>)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.</w:t>
      </w:r>
    </w:p>
    <w:p w14:paraId="1D1C9257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22CB9A7A">
          <v:rect id="_x0000_i1033" style="width:0;height:1.5pt" o:hralign="center" o:hrstd="t" o:hr="t" fillcolor="#a0a0a0" stroked="f"/>
        </w:pict>
      </w:r>
    </w:p>
    <w:p w14:paraId="3A781F46" w14:textId="77777777" w:rsidR="00440C05" w:rsidRDefault="00440C05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</w:p>
    <w:p w14:paraId="6C26CEA6" w14:textId="42546374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X. Doba trvání a ukončení smlouvy</w:t>
      </w:r>
    </w:p>
    <w:p w14:paraId="27D2953E" w14:textId="77777777" w:rsidR="00157AAB" w:rsidRPr="00237E1F" w:rsidRDefault="00157AAB" w:rsidP="00237E1F">
      <w:pPr>
        <w:pStyle w:val="Odstavecseseznamem"/>
        <w:numPr>
          <w:ilvl w:val="0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Tato smlouva se uzavírá na dobu neurčitou.</w:t>
      </w:r>
    </w:p>
    <w:p w14:paraId="54B42465" w14:textId="77777777" w:rsidR="00157AAB" w:rsidRPr="00237E1F" w:rsidRDefault="00157AAB" w:rsidP="00237E1F">
      <w:pPr>
        <w:pStyle w:val="Odstavecseseznamem"/>
        <w:numPr>
          <w:ilvl w:val="0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Smlouvu lze ukončit:</w:t>
      </w:r>
    </w:p>
    <w:p w14:paraId="1DE50B5D" w14:textId="769D1A02" w:rsidR="00157AAB" w:rsidRPr="00237E1F" w:rsidRDefault="00157AAB" w:rsidP="00237E1F">
      <w:pPr>
        <w:pStyle w:val="Odstavecseseznamem"/>
        <w:numPr>
          <w:ilvl w:val="1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dohodou smluvních stran</w:t>
      </w:r>
      <w:r w:rsidR="00440C05"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 s písemným zápisem o ukončení smlouvy</w:t>
      </w:r>
    </w:p>
    <w:p w14:paraId="76F1AC00" w14:textId="35804D55" w:rsidR="00157AAB" w:rsidRPr="00237E1F" w:rsidRDefault="00157AAB" w:rsidP="00237E1F">
      <w:pPr>
        <w:pStyle w:val="Odstavecseseznamem"/>
        <w:numPr>
          <w:ilvl w:val="1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výpovědí </w:t>
      </w:r>
      <w:r w:rsidR="00440C05" w:rsidRPr="00237E1F">
        <w:rPr>
          <w:rFonts w:ascii="Quicksand" w:eastAsiaTheme="majorEastAsia" w:hAnsi="Quicksand" w:cstheme="majorBidi"/>
          <w:color w:val="000000" w:themeColor="text1"/>
          <w:lang w:val="cs-CZ"/>
        </w:rPr>
        <w:t>ze strany poskytovatele z ůvodů porušení této smlouvy</w:t>
      </w:r>
    </w:p>
    <w:p w14:paraId="69A441AC" w14:textId="35841557" w:rsidR="00440C05" w:rsidRPr="00237E1F" w:rsidRDefault="00440C05" w:rsidP="00237E1F">
      <w:pPr>
        <w:pStyle w:val="Odstavecseseznamem"/>
        <w:numPr>
          <w:ilvl w:val="1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uplynutím doby 6 měsíců po vyčerpání předplacených balíčků bez další aktivity klienty</w:t>
      </w:r>
    </w:p>
    <w:p w14:paraId="30606533" w14:textId="5D0F5297" w:rsidR="00157AAB" w:rsidRPr="00237E1F" w:rsidRDefault="00157AAB" w:rsidP="00237E1F">
      <w:pPr>
        <w:pStyle w:val="Odstavecseseznamem"/>
        <w:numPr>
          <w:ilvl w:val="0"/>
          <w:numId w:val="35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Ukončení</w:t>
      </w:r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>m</w:t>
      </w: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 smlouvy nemá vliv na již zakoupené a nevyčerpané balíčky, které </w:t>
      </w:r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budou zpětně proplaceny klientovi bezhotovostně na jeho </w:t>
      </w:r>
      <w:proofErr w:type="gramStart"/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>účet</w:t>
      </w:r>
      <w:proofErr w:type="gramEnd"/>
      <w:r w:rsidR="00A45D93"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 a to nejpozději do 14 dnů od ukončení smlouvy.</w:t>
      </w:r>
    </w:p>
    <w:p w14:paraId="7D173043" w14:textId="77777777" w:rsidR="00157AAB" w:rsidRPr="00467F89" w:rsidRDefault="00237E1F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>
        <w:rPr>
          <w:rFonts w:ascii="Quicksand" w:eastAsiaTheme="majorEastAsia" w:hAnsi="Quicksand" w:cstheme="majorBidi"/>
          <w:color w:val="000000" w:themeColor="text1"/>
          <w:lang w:val="cs-CZ"/>
        </w:rPr>
        <w:pict w14:anchorId="77F2070B">
          <v:rect id="_x0000_i1034" style="width:0;height:1.5pt" o:hralign="center" o:hrstd="t" o:hr="t" fillcolor="#a0a0a0" stroked="f"/>
        </w:pict>
      </w:r>
    </w:p>
    <w:p w14:paraId="7DA37944" w14:textId="77777777" w:rsidR="00157AAB" w:rsidRPr="00467F89" w:rsidRDefault="00157AAB" w:rsidP="00024BD4">
      <w:pPr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b/>
          <w:bCs/>
          <w:color w:val="000000" w:themeColor="text1"/>
          <w:lang w:val="cs-CZ"/>
        </w:rPr>
        <w:t>XI. Závěrečná ustanovení</w:t>
      </w:r>
    </w:p>
    <w:p w14:paraId="6ACFBD1E" w14:textId="5FB5FC58" w:rsidR="00440C05" w:rsidRPr="00237E1F" w:rsidRDefault="00157AAB" w:rsidP="00237E1F">
      <w:pPr>
        <w:pStyle w:val="Odstavecseseznamem"/>
        <w:numPr>
          <w:ilvl w:val="0"/>
          <w:numId w:val="3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 xml:space="preserve">Nedílnou součástí této smlouvy </w:t>
      </w:r>
      <w:r w:rsidR="00440C05" w:rsidRPr="00237E1F">
        <w:rPr>
          <w:rFonts w:ascii="Quicksand" w:eastAsiaTheme="majorEastAsia" w:hAnsi="Quicksand" w:cstheme="majorBidi"/>
          <w:color w:val="000000" w:themeColor="text1"/>
          <w:lang w:val="cs-CZ"/>
        </w:rPr>
        <w:t>je Ceník služeb, Souhlas se zpracováním osobních údajů a Informovaný souhlas.</w:t>
      </w:r>
    </w:p>
    <w:p w14:paraId="7EB61AAF" w14:textId="77777777" w:rsidR="00157AAB" w:rsidRPr="00237E1F" w:rsidRDefault="00157AAB" w:rsidP="00237E1F">
      <w:pPr>
        <w:pStyle w:val="Odstavecseseznamem"/>
        <w:numPr>
          <w:ilvl w:val="0"/>
          <w:numId w:val="3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Smlouva se řídí právním řádem České republiky.</w:t>
      </w:r>
    </w:p>
    <w:p w14:paraId="2B2A9886" w14:textId="6225734A" w:rsidR="00157AAB" w:rsidRPr="00237E1F" w:rsidRDefault="00157AAB" w:rsidP="00237E1F">
      <w:pPr>
        <w:pStyle w:val="Odstavecseseznamem"/>
        <w:numPr>
          <w:ilvl w:val="0"/>
          <w:numId w:val="36"/>
        </w:num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237E1F">
        <w:rPr>
          <w:rFonts w:ascii="Quicksand" w:eastAsiaTheme="majorEastAsia" w:hAnsi="Quicksand" w:cstheme="majorBidi"/>
          <w:color w:val="000000" w:themeColor="text1"/>
          <w:lang w:val="cs-CZ"/>
        </w:rPr>
        <w:t>Smlouva je vyhotovena ve dvou stejnopisech</w:t>
      </w:r>
      <w:r w:rsidR="001F4056" w:rsidRPr="00237E1F">
        <w:rPr>
          <w:rFonts w:ascii="Quicksand" w:eastAsiaTheme="majorEastAsia" w:hAnsi="Quicksand" w:cstheme="majorBidi"/>
          <w:color w:val="000000" w:themeColor="text1"/>
          <w:lang w:val="cs-CZ"/>
        </w:rPr>
        <w:t>, každá ze smluvních stran obdrží po jednom kuse.</w:t>
      </w:r>
    </w:p>
    <w:p w14:paraId="08D2748F" w14:textId="77777777" w:rsidR="001F4056" w:rsidRPr="00467F89" w:rsidRDefault="001F4056" w:rsidP="00024BD4">
      <w:pPr>
        <w:ind w:left="720"/>
        <w:rPr>
          <w:rFonts w:ascii="Quicksand" w:eastAsiaTheme="majorEastAsia" w:hAnsi="Quicksand" w:cstheme="majorBidi"/>
          <w:color w:val="000000" w:themeColor="text1"/>
          <w:lang w:val="cs-CZ"/>
        </w:rPr>
      </w:pPr>
    </w:p>
    <w:p w14:paraId="1C2A045B" w14:textId="63089700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 xml:space="preserve">V 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>..........................................................................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 xml:space="preserve">dne 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>.................................................</w:t>
      </w:r>
    </w:p>
    <w:p w14:paraId="65F66544" w14:textId="77777777" w:rsidR="001F4056" w:rsidRDefault="001F4056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</w:p>
    <w:p w14:paraId="7A2B5E27" w14:textId="1DD24F35" w:rsidR="00157AAB" w:rsidRPr="00467F89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Poskytovatel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>: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</w:p>
    <w:p w14:paraId="329A974B" w14:textId="77777777" w:rsidR="001F4056" w:rsidRDefault="001F4056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</w:p>
    <w:p w14:paraId="0D15DC28" w14:textId="77777777" w:rsidR="001F4056" w:rsidRDefault="001F4056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</w:p>
    <w:p w14:paraId="337B39A1" w14:textId="5B95C911" w:rsidR="00157AAB" w:rsidRPr="001F4056" w:rsidRDefault="00157AAB" w:rsidP="00024BD4">
      <w:pPr>
        <w:rPr>
          <w:rFonts w:ascii="Quicksand" w:eastAsiaTheme="majorEastAsia" w:hAnsi="Quicksand" w:cstheme="majorBidi"/>
          <w:color w:val="000000" w:themeColor="text1"/>
          <w:lang w:val="cs-CZ"/>
        </w:rPr>
      </w:pPr>
      <w:r w:rsidRPr="00467F89">
        <w:rPr>
          <w:rFonts w:ascii="Quicksand" w:eastAsiaTheme="majorEastAsia" w:hAnsi="Quicksand" w:cstheme="majorBidi"/>
          <w:color w:val="000000" w:themeColor="text1"/>
          <w:lang w:val="cs-CZ"/>
        </w:rPr>
        <w:t>Klient / zákonný zástupce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>:</w:t>
      </w:r>
      <w:r w:rsidR="001F4056">
        <w:rPr>
          <w:rFonts w:ascii="Quicksand" w:eastAsiaTheme="majorEastAsia" w:hAnsi="Quicksand" w:cstheme="majorBidi"/>
          <w:color w:val="000000" w:themeColor="text1"/>
          <w:lang w:val="cs-CZ"/>
        </w:rPr>
        <w:tab/>
        <w:t>.............................................................................................................</w:t>
      </w:r>
    </w:p>
    <w:sectPr w:rsidR="00157AAB" w:rsidRPr="001F4056" w:rsidSect="00024BD4">
      <w:footerReference w:type="default" r:id="rId7"/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EE94" w14:textId="77777777" w:rsidR="001F4056" w:rsidRDefault="001F4056" w:rsidP="001F4056">
      <w:pPr>
        <w:spacing w:after="0"/>
      </w:pPr>
      <w:r>
        <w:separator/>
      </w:r>
    </w:p>
  </w:endnote>
  <w:endnote w:type="continuationSeparator" w:id="0">
    <w:p w14:paraId="1AF2121A" w14:textId="77777777" w:rsidR="001F4056" w:rsidRDefault="001F4056" w:rsidP="001F4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D6A5E" w14:textId="2718DD54" w:rsidR="001F4056" w:rsidRDefault="001F405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99F96" w14:textId="77777777" w:rsidR="001F4056" w:rsidRDefault="001F40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1273" w14:textId="77777777" w:rsidR="001F4056" w:rsidRDefault="001F4056" w:rsidP="001F4056">
      <w:pPr>
        <w:spacing w:after="0"/>
      </w:pPr>
      <w:r>
        <w:separator/>
      </w:r>
    </w:p>
  </w:footnote>
  <w:footnote w:type="continuationSeparator" w:id="0">
    <w:p w14:paraId="31B80A93" w14:textId="77777777" w:rsidR="001F4056" w:rsidRDefault="001F4056" w:rsidP="001F4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EBF"/>
    <w:multiLevelType w:val="hybridMultilevel"/>
    <w:tmpl w:val="22324982"/>
    <w:lvl w:ilvl="0" w:tplc="938CF5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C1EDA"/>
    <w:multiLevelType w:val="hybridMultilevel"/>
    <w:tmpl w:val="7720942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F53A7E"/>
    <w:multiLevelType w:val="multilevel"/>
    <w:tmpl w:val="4518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F5170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E2547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26105"/>
    <w:multiLevelType w:val="multilevel"/>
    <w:tmpl w:val="7E90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5521C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607C1"/>
    <w:multiLevelType w:val="multilevel"/>
    <w:tmpl w:val="67EA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51112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862BB"/>
    <w:multiLevelType w:val="multilevel"/>
    <w:tmpl w:val="D07C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D1AFD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018F9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D0DFF"/>
    <w:multiLevelType w:val="hybridMultilevel"/>
    <w:tmpl w:val="3244A3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27E42"/>
    <w:multiLevelType w:val="hybridMultilevel"/>
    <w:tmpl w:val="1D940AC6"/>
    <w:lvl w:ilvl="0" w:tplc="938CF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D02A7"/>
    <w:multiLevelType w:val="hybridMultilevel"/>
    <w:tmpl w:val="CF7A0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D7475F"/>
    <w:multiLevelType w:val="multilevel"/>
    <w:tmpl w:val="9508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4A40A7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D59FD"/>
    <w:multiLevelType w:val="hybridMultilevel"/>
    <w:tmpl w:val="3516E33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FCF36A5"/>
    <w:multiLevelType w:val="multilevel"/>
    <w:tmpl w:val="0D24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534FB"/>
    <w:multiLevelType w:val="hybridMultilevel"/>
    <w:tmpl w:val="B7083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31F6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31A1E"/>
    <w:multiLevelType w:val="multilevel"/>
    <w:tmpl w:val="300E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B0B8A"/>
    <w:multiLevelType w:val="multilevel"/>
    <w:tmpl w:val="FE8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2771A"/>
    <w:multiLevelType w:val="multilevel"/>
    <w:tmpl w:val="ED40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A2124"/>
    <w:multiLevelType w:val="hybridMultilevel"/>
    <w:tmpl w:val="4890389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613433"/>
    <w:multiLevelType w:val="multilevel"/>
    <w:tmpl w:val="745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A64EF"/>
    <w:multiLevelType w:val="multilevel"/>
    <w:tmpl w:val="E81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E7681"/>
    <w:multiLevelType w:val="hybridMultilevel"/>
    <w:tmpl w:val="08AA9D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D8102E"/>
    <w:multiLevelType w:val="hybridMultilevel"/>
    <w:tmpl w:val="ECCE275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6BA6899"/>
    <w:multiLevelType w:val="multilevel"/>
    <w:tmpl w:val="062A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B3628"/>
    <w:multiLevelType w:val="hybridMultilevel"/>
    <w:tmpl w:val="BDEC8E78"/>
    <w:lvl w:ilvl="0" w:tplc="938CF5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29586C"/>
    <w:multiLevelType w:val="hybridMultilevel"/>
    <w:tmpl w:val="F0C0BA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925DE"/>
    <w:multiLevelType w:val="hybridMultilevel"/>
    <w:tmpl w:val="EB607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57C7"/>
    <w:multiLevelType w:val="multilevel"/>
    <w:tmpl w:val="6DD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322C0"/>
    <w:multiLevelType w:val="multilevel"/>
    <w:tmpl w:val="D49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3902FD"/>
    <w:multiLevelType w:val="multilevel"/>
    <w:tmpl w:val="9DF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89809">
    <w:abstractNumId w:val="7"/>
  </w:num>
  <w:num w:numId="2" w16cid:durableId="812988156">
    <w:abstractNumId w:val="18"/>
  </w:num>
  <w:num w:numId="3" w16cid:durableId="21786676">
    <w:abstractNumId w:val="9"/>
  </w:num>
  <w:num w:numId="4" w16cid:durableId="208957331">
    <w:abstractNumId w:val="26"/>
  </w:num>
  <w:num w:numId="5" w16cid:durableId="549345314">
    <w:abstractNumId w:val="11"/>
  </w:num>
  <w:num w:numId="6" w16cid:durableId="955984945">
    <w:abstractNumId w:val="29"/>
  </w:num>
  <w:num w:numId="7" w16cid:durableId="256788464">
    <w:abstractNumId w:val="2"/>
  </w:num>
  <w:num w:numId="8" w16cid:durableId="294025939">
    <w:abstractNumId w:val="35"/>
  </w:num>
  <w:num w:numId="9" w16cid:durableId="446047083">
    <w:abstractNumId w:val="25"/>
  </w:num>
  <w:num w:numId="10" w16cid:durableId="245500297">
    <w:abstractNumId w:val="34"/>
  </w:num>
  <w:num w:numId="11" w16cid:durableId="914242488">
    <w:abstractNumId w:val="33"/>
  </w:num>
  <w:num w:numId="12" w16cid:durableId="20521362">
    <w:abstractNumId w:val="23"/>
  </w:num>
  <w:num w:numId="13" w16cid:durableId="389576246">
    <w:abstractNumId w:val="5"/>
  </w:num>
  <w:num w:numId="14" w16cid:durableId="301465637">
    <w:abstractNumId w:val="15"/>
  </w:num>
  <w:num w:numId="15" w16cid:durableId="1454906529">
    <w:abstractNumId w:val="21"/>
  </w:num>
  <w:num w:numId="16" w16cid:durableId="426851875">
    <w:abstractNumId w:val="1"/>
  </w:num>
  <w:num w:numId="17" w16cid:durableId="178276461">
    <w:abstractNumId w:val="27"/>
  </w:num>
  <w:num w:numId="18" w16cid:durableId="1370758931">
    <w:abstractNumId w:val="24"/>
  </w:num>
  <w:num w:numId="19" w16cid:durableId="656540409">
    <w:abstractNumId w:val="13"/>
  </w:num>
  <w:num w:numId="20" w16cid:durableId="686639500">
    <w:abstractNumId w:val="17"/>
  </w:num>
  <w:num w:numId="21" w16cid:durableId="24016435">
    <w:abstractNumId w:val="28"/>
  </w:num>
  <w:num w:numId="22" w16cid:durableId="1465467047">
    <w:abstractNumId w:val="4"/>
  </w:num>
  <w:num w:numId="23" w16cid:durableId="947547338">
    <w:abstractNumId w:val="20"/>
  </w:num>
  <w:num w:numId="24" w16cid:durableId="15157860">
    <w:abstractNumId w:val="8"/>
  </w:num>
  <w:num w:numId="25" w16cid:durableId="1499539609">
    <w:abstractNumId w:val="16"/>
  </w:num>
  <w:num w:numId="26" w16cid:durableId="1201279457">
    <w:abstractNumId w:val="3"/>
  </w:num>
  <w:num w:numId="27" w16cid:durableId="114955489">
    <w:abstractNumId w:val="6"/>
  </w:num>
  <w:num w:numId="28" w16cid:durableId="1240795060">
    <w:abstractNumId w:val="10"/>
  </w:num>
  <w:num w:numId="29" w16cid:durableId="1654217618">
    <w:abstractNumId w:val="22"/>
  </w:num>
  <w:num w:numId="30" w16cid:durableId="914171242">
    <w:abstractNumId w:val="0"/>
  </w:num>
  <w:num w:numId="31" w16cid:durableId="1308851767">
    <w:abstractNumId w:val="30"/>
  </w:num>
  <w:num w:numId="32" w16cid:durableId="124741260">
    <w:abstractNumId w:val="19"/>
  </w:num>
  <w:num w:numId="33" w16cid:durableId="727264453">
    <w:abstractNumId w:val="14"/>
  </w:num>
  <w:num w:numId="34" w16cid:durableId="1996572084">
    <w:abstractNumId w:val="31"/>
  </w:num>
  <w:num w:numId="35" w16cid:durableId="647131969">
    <w:abstractNumId w:val="32"/>
  </w:num>
  <w:num w:numId="36" w16cid:durableId="1285500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B"/>
    <w:rsid w:val="00024BD4"/>
    <w:rsid w:val="0004639C"/>
    <w:rsid w:val="00157AAB"/>
    <w:rsid w:val="001F4056"/>
    <w:rsid w:val="00237E1F"/>
    <w:rsid w:val="00440C05"/>
    <w:rsid w:val="004A3B0B"/>
    <w:rsid w:val="004F6391"/>
    <w:rsid w:val="00503FD1"/>
    <w:rsid w:val="0082402C"/>
    <w:rsid w:val="00A45D93"/>
    <w:rsid w:val="00BA16DB"/>
    <w:rsid w:val="00E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722C834"/>
  <w15:chartTrackingRefBased/>
  <w15:docId w15:val="{47BA556C-8520-45A6-BD53-8175840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AAB"/>
    <w:pPr>
      <w:spacing w:after="20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A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A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A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A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A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A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7A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A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7A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A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AA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405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F4056"/>
    <w:rPr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F405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F405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Metzl</dc:creator>
  <cp:keywords/>
  <dc:description/>
  <cp:lastModifiedBy>Milan Metzl</cp:lastModifiedBy>
  <cp:revision>5</cp:revision>
  <dcterms:created xsi:type="dcterms:W3CDTF">2025-12-17T12:23:00Z</dcterms:created>
  <dcterms:modified xsi:type="dcterms:W3CDTF">2026-01-12T10:08:00Z</dcterms:modified>
</cp:coreProperties>
</file>